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51"/>
          <w:tab w:val="left" w:pos="1418"/>
        </w:tabs>
        <w:spacing w:after="120"/>
        <w:rPr>
          <w:rFonts w:ascii="Tahoma" w:hAnsi="Tahoma" w:cs="Tahoma"/>
          <w:b/>
          <w:sz w:val="22"/>
          <w:szCs w:val="22"/>
        </w:rPr>
      </w:pPr>
    </w:p>
    <w:p>
      <w:pPr>
        <w:pStyle w:val="3"/>
        <w:tabs>
          <w:tab w:val="left" w:pos="851"/>
          <w:tab w:val="left" w:pos="1418"/>
        </w:tabs>
        <w:spacing w:after="120"/>
        <w:rPr>
          <w:b/>
          <w:sz w:val="22"/>
          <w:szCs w:val="22"/>
        </w:rPr>
      </w:pPr>
    </w:p>
    <w:p>
      <w:pPr>
        <w:pStyle w:val="11"/>
        <w:numPr>
          <w:ilvl w:val="0"/>
          <w:numId w:val="0"/>
        </w:numPr>
        <w:rPr>
          <w:b/>
          <w:sz w:val="22"/>
          <w:szCs w:val="22"/>
        </w:rPr>
      </w:pPr>
      <w:bookmarkStart w:id="0" w:name="_Toc342658177"/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>Протокол о присоединении</w:t>
      </w:r>
      <w:bookmarkEnd w:id="0"/>
    </w:p>
    <w:p>
      <w:pPr>
        <w:pStyle w:val="11"/>
        <w:numPr>
          <w:ilvl w:val="0"/>
          <w:numId w:val="0"/>
        </w:numPr>
        <w:rPr>
          <w:sz w:val="22"/>
          <w:szCs w:val="22"/>
        </w:rPr>
      </w:pPr>
    </w:p>
    <w:p>
      <w:pPr>
        <w:pStyle w:val="11"/>
        <w:numPr>
          <w:ilvl w:val="0"/>
          <w:numId w:val="0"/>
        </w:numPr>
        <w:rPr>
          <w:sz w:val="22"/>
          <w:szCs w:val="22"/>
        </w:rPr>
      </w:pPr>
    </w:p>
    <w:p>
      <w:pPr>
        <w:pStyle w:val="3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«_____» ______________20___г.</w:t>
      </w:r>
    </w:p>
    <w:p>
      <w:pPr>
        <w:pStyle w:val="3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</w:p>
    <w:p>
      <w:pPr>
        <w:pStyle w:val="3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</w:p>
    <w:p>
      <w:pPr>
        <w:pStyle w:val="3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_________________________________________, именуемое в дальнейшем «Банк», в лице ____________________________________________, действующего на основании ______________________________, с одной стороны, и ООО «ХэндиСолюшенс», именуемое в дальнейшем «Оператор Системы», в лице Генерального директора____________________________________________, действующего на основании Устава, с другой стороны, подписали настоящий Протокол о присоединении о нижеследующем:</w:t>
      </w:r>
    </w:p>
    <w:p>
      <w:pPr>
        <w:pStyle w:val="3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Банк присоединяется к Правилам Платежной системы HandyBank и полностью принимает все условия Правил и обязуется выполнять их, а также приобретает определенные Правилами права и обязанности по отношению к другим Сторонам.</w:t>
      </w:r>
    </w:p>
    <w:p>
      <w:pPr>
        <w:pStyle w:val="10"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настоящем Протоколе </w:t>
      </w:r>
      <w:r>
        <w:rPr>
          <w:rFonts w:ascii="Times New Roman" w:hAnsi="Times New Roman" w:cs="Times New Roman"/>
          <w:sz w:val="22"/>
          <w:szCs w:val="22"/>
        </w:rPr>
        <w:t xml:space="preserve">о присоединении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использованы термины и определения, изложенные в Правилах Платежной системы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HandyBank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>
      <w:pPr>
        <w:pStyle w:val="10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Настоящий Протокол составлен в двух экземплярах, по одному экземпляру для Банка и Оператора Системы. </w:t>
      </w:r>
    </w:p>
    <w:p>
      <w:pPr>
        <w:pStyle w:val="10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0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0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5"/>
        <w:tblW w:w="9214" w:type="dxa"/>
        <w:tblInd w:w="108" w:type="dxa"/>
        <w:tblLayout w:type="fixed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4712"/>
        <w:gridCol w:w="4502"/>
      </w:tblGrid>
      <w:tr>
        <w:tblPrEx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c>
          <w:tcPr>
            <w:tcW w:w="4712" w:type="dxa"/>
          </w:tcPr>
          <w:p>
            <w:r>
              <w:rPr>
                <w:bCs/>
                <w:sz w:val="22"/>
                <w:szCs w:val="22"/>
              </w:rPr>
              <w:t>Банк</w:t>
            </w:r>
          </w:p>
        </w:tc>
        <w:tc>
          <w:tcPr>
            <w:tcW w:w="4502" w:type="dxa"/>
          </w:tcPr>
          <w:p>
            <w:r>
              <w:rPr>
                <w:bCs/>
                <w:sz w:val="22"/>
                <w:szCs w:val="22"/>
              </w:rPr>
              <w:t>Оператор Системы</w:t>
            </w:r>
          </w:p>
        </w:tc>
      </w:tr>
      <w:tr>
        <w:tblPrEx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c>
          <w:tcPr>
            <w:tcW w:w="4712" w:type="dxa"/>
          </w:tcPr>
          <w:p>
            <w:pPr>
              <w:ind w:left="540"/>
              <w:jc w:val="both"/>
            </w:pPr>
          </w:p>
        </w:tc>
        <w:tc>
          <w:tcPr>
            <w:tcW w:w="4502" w:type="dxa"/>
          </w:tcPr>
          <w:p>
            <w:pPr>
              <w:jc w:val="both"/>
            </w:pPr>
          </w:p>
          <w:p>
            <w:r>
              <w:rPr>
                <w:sz w:val="22"/>
                <w:szCs w:val="22"/>
              </w:rPr>
              <w:t>ООО «ХэндиСолюшенс»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125009, г. Москва, ул.</w:t>
            </w:r>
            <w:r>
              <w:rPr>
                <w:rFonts w:hint="defaul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Большая Никитская, 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д. 17, стр.</w:t>
            </w:r>
            <w:r>
              <w:rPr>
                <w:rFonts w:hint="defaul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2, эт.</w:t>
            </w:r>
            <w:r>
              <w:rPr>
                <w:rFonts w:hint="default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3, пом.</w:t>
            </w:r>
            <w:r>
              <w:rPr>
                <w:rFonts w:hint="default"/>
                <w:bCs/>
                <w:sz w:val="22"/>
                <w:szCs w:val="22"/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19</w:t>
            </w:r>
          </w:p>
          <w:p>
            <w:r>
              <w:rPr>
                <w:sz w:val="22"/>
                <w:szCs w:val="22"/>
              </w:rPr>
              <w:t>ИНН 7734386713, КПП 770301001</w:t>
            </w:r>
          </w:p>
          <w:p>
            <w:r>
              <w:rPr>
                <w:sz w:val="22"/>
                <w:szCs w:val="22"/>
              </w:rPr>
              <w:t xml:space="preserve">р/с 40702810088000043591  в 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Филиале ЦЕНТРАЛЬНЫЙ ПАО Банк «ФК Открытие»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к/с 30101810945250000297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БИК 044525297</w:t>
            </w:r>
          </w:p>
          <w:p>
            <w:pPr>
              <w:jc w:val="both"/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91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sz w:val="22"/>
                <w:szCs w:val="22"/>
              </w:rPr>
              <w:t>________________( ______________)</w:t>
            </w: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500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sz w:val="22"/>
                <w:szCs w:val="22"/>
              </w:rPr>
              <w:t>_______________ (</w:t>
            </w:r>
            <w:r>
              <w:rPr>
                <w:sz w:val="22"/>
                <w:szCs w:val="22"/>
                <w:lang w:val="en-US"/>
              </w:rPr>
              <w:t>__________________</w:t>
            </w:r>
            <w:r>
              <w:rPr>
                <w:sz w:val="22"/>
                <w:szCs w:val="22"/>
              </w:rPr>
              <w:t>.)</w:t>
            </w: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5EF"/>
    <w:multiLevelType w:val="multilevel"/>
    <w:tmpl w:val="170D15EF"/>
    <w:lvl w:ilvl="0" w:tentative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 w:ascii="Tahoma" w:hAnsi="Tahoma" w:cs="Times New Roman"/>
        <w:b/>
        <w:i w:val="0"/>
        <w:color w:val="auto"/>
        <w:sz w:val="20"/>
        <w:szCs w:val="20"/>
        <w:u w:val="none"/>
      </w:rPr>
    </w:lvl>
    <w:lvl w:ilvl="1" w:tentative="0">
      <w:start w:val="1"/>
      <w:numFmt w:val="decimal"/>
      <w:pStyle w:val="6"/>
      <w:suff w:val="space"/>
      <w:lvlText w:val="%1.%2."/>
      <w:lvlJc w:val="left"/>
      <w:pPr>
        <w:ind w:left="0" w:firstLine="0"/>
      </w:pPr>
      <w:rPr>
        <w:rFonts w:hint="default" w:ascii="Tahoma" w:hAnsi="Tahoma" w:cs="Times New Roman"/>
        <w:b/>
        <w:i w:val="0"/>
        <w:strike w:val="0"/>
        <w:color w:val="auto"/>
        <w:sz w:val="20"/>
        <w:szCs w:val="20"/>
        <w:u w:val="none"/>
      </w:rPr>
    </w:lvl>
    <w:lvl w:ilvl="2" w:tentative="0">
      <w:start w:val="1"/>
      <w:numFmt w:val="decimal"/>
      <w:pStyle w:val="7"/>
      <w:suff w:val="space"/>
      <w:lvlText w:val="%1.%2.%3."/>
      <w:lvlJc w:val="left"/>
      <w:pPr>
        <w:ind w:left="454" w:firstLine="0"/>
      </w:pPr>
      <w:rPr>
        <w:rFonts w:hint="default" w:ascii="Tahoma" w:hAnsi="Tahoma" w:cs="Times New Roman"/>
        <w:b/>
        <w:i w:val="0"/>
        <w:strike w:val="0"/>
        <w:color w:val="auto"/>
        <w:sz w:val="20"/>
        <w:szCs w:val="20"/>
        <w:u w:val="none"/>
      </w:rPr>
    </w:lvl>
    <w:lvl w:ilvl="3" w:tentative="0">
      <w:start w:val="1"/>
      <w:numFmt w:val="decimal"/>
      <w:pStyle w:val="8"/>
      <w:suff w:val="space"/>
      <w:lvlText w:val="%1.%2.%3.%4."/>
      <w:lvlJc w:val="left"/>
      <w:pPr>
        <w:ind w:left="568" w:firstLine="0"/>
      </w:pPr>
      <w:rPr>
        <w:rFonts w:hint="default" w:ascii="Tahoma" w:hAnsi="Tahoma" w:cs="Tahoma"/>
        <w:b/>
        <w:i w:val="0"/>
        <w:color w:val="000000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1506"/>
        </w:tabs>
        <w:ind w:left="1218" w:hanging="7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66180"/>
    <w:rsid w:val="003148B7"/>
    <w:rsid w:val="00366180"/>
    <w:rsid w:val="003C6E9C"/>
    <w:rsid w:val="004D51AF"/>
    <w:rsid w:val="00506375"/>
    <w:rsid w:val="00640E20"/>
    <w:rsid w:val="00675773"/>
    <w:rsid w:val="006978E6"/>
    <w:rsid w:val="006F7761"/>
    <w:rsid w:val="008610E0"/>
    <w:rsid w:val="00906B62"/>
    <w:rsid w:val="009111E7"/>
    <w:rsid w:val="009A434F"/>
    <w:rsid w:val="009B1B14"/>
    <w:rsid w:val="009F5EEA"/>
    <w:rsid w:val="00A04DED"/>
    <w:rsid w:val="00AD604B"/>
    <w:rsid w:val="00C17346"/>
    <w:rsid w:val="00C2007A"/>
    <w:rsid w:val="00E17523"/>
    <w:rsid w:val="00E72BB3"/>
    <w:rsid w:val="00EC127B"/>
    <w:rsid w:val="00F9632C"/>
    <w:rsid w:val="00FF3FA2"/>
    <w:rsid w:val="472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uiPriority w:val="99"/>
    <w:pPr>
      <w:spacing w:after="120"/>
      <w:ind w:left="283"/>
    </w:pPr>
  </w:style>
  <w:style w:type="paragraph" w:styleId="3">
    <w:name w:val="Title"/>
    <w:basedOn w:val="1"/>
    <w:link w:val="9"/>
    <w:qFormat/>
    <w:uiPriority w:val="0"/>
    <w:pPr>
      <w:jc w:val="center"/>
    </w:pPr>
    <w:rPr>
      <w:szCs w:val="20"/>
    </w:rPr>
  </w:style>
  <w:style w:type="paragraph" w:customStyle="1" w:styleId="6">
    <w:name w:val="Предмет1"/>
    <w:basedOn w:val="2"/>
    <w:uiPriority w:val="0"/>
    <w:pPr>
      <w:widowControl w:val="0"/>
      <w:numPr>
        <w:ilvl w:val="1"/>
        <w:numId w:val="1"/>
      </w:numPr>
      <w:autoSpaceDE w:val="0"/>
      <w:autoSpaceDN w:val="0"/>
      <w:spacing w:after="0"/>
      <w:jc w:val="both"/>
    </w:pPr>
    <w:rPr>
      <w:rFonts w:ascii="Tahoma" w:hAnsi="Tahoma" w:cs="Arial"/>
      <w:bCs/>
      <w:sz w:val="20"/>
      <w:szCs w:val="20"/>
    </w:rPr>
  </w:style>
  <w:style w:type="paragraph" w:customStyle="1" w:styleId="7">
    <w:name w:val="Предмет3"/>
    <w:basedOn w:val="1"/>
    <w:uiPriority w:val="0"/>
    <w:pPr>
      <w:widowControl w:val="0"/>
      <w:numPr>
        <w:ilvl w:val="2"/>
        <w:numId w:val="1"/>
      </w:numPr>
      <w:autoSpaceDE w:val="0"/>
      <w:autoSpaceDN w:val="0"/>
      <w:jc w:val="both"/>
    </w:pPr>
    <w:rPr>
      <w:rFonts w:ascii="Tahoma" w:hAnsi="Tahoma" w:cs="Arial"/>
      <w:sz w:val="20"/>
      <w:szCs w:val="20"/>
    </w:rPr>
  </w:style>
  <w:style w:type="paragraph" w:customStyle="1" w:styleId="8">
    <w:name w:val="Предмет4"/>
    <w:basedOn w:val="1"/>
    <w:uiPriority w:val="0"/>
    <w:pPr>
      <w:widowControl w:val="0"/>
      <w:numPr>
        <w:ilvl w:val="3"/>
        <w:numId w:val="1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9">
    <w:name w:val="Название Знак"/>
    <w:basedOn w:val="4"/>
    <w:link w:val="3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0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1">
    <w:name w:val="Оглавление 44"/>
    <w:basedOn w:val="1"/>
    <w:link w:val="12"/>
    <w:qFormat/>
    <w:uiPriority w:val="0"/>
    <w:pPr>
      <w:numPr>
        <w:ilvl w:val="0"/>
        <w:numId w:val="1"/>
      </w:numPr>
    </w:pPr>
  </w:style>
  <w:style w:type="character" w:customStyle="1" w:styleId="12">
    <w:name w:val="Оглавление 44 Знак"/>
    <w:basedOn w:val="4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"/>
    <w:basedOn w:val="4"/>
    <w:link w:val="2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1219</Characters>
  <Lines>10</Lines>
  <Paragraphs>2</Paragraphs>
  <TotalTime>6</TotalTime>
  <ScaleCrop>false</ScaleCrop>
  <LinksUpToDate>false</LinksUpToDate>
  <CharactersWithSpaces>1430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2019-05-22T08:47:00Z</dcterms:created>
  <dc:creator>Михайлова</dc:creator>
  <cp:lastModifiedBy>Elena</cp:lastModifiedBy>
  <dcterms:modified xsi:type="dcterms:W3CDTF">2020-04-07T14:41:11Z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